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Противодействие коррупции</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/Кузнецова Е.К./</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«Противодействие коррупции»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«Противодействие коррупции».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«Противодействие коррупции»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действующие правовые нормы, ограничения в сфере массовой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соблюдать действующие правовые нормы, ограничения в сфере массовой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комплексными представлениями о действующих правовых нормах и ограничениях в сфере массовой информации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09.63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«Противодействие коррупции» относится к обязательной части, является дисциплиной Блока &lt;не удалось определить&gt;. «&lt;не удалось определить&gt;».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Учебная практика (профессионально- ознакомительная практика)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Книгоиздательское дело</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Стратегии противодействия международному терроризму</w:t>
            </w:r>
          </w:p>
          <w:p>
            <w:pPr>
              <w:jc w:val="center"/>
              <w:spacing w:after="0" w:line="240" w:lineRule="auto"/>
              <w:rPr>
                <w:sz w:val="22"/>
                <w:szCs w:val="22"/>
              </w:rPr>
            </w:pPr>
            <w:r>
              <w:rPr>
                <w:rFonts w:ascii="Times New Roman" w:hAnsi="Times New Roman" w:cs="Times New Roman"/>
                <w:color w:val="#000000"/>
                <w:sz w:val="22"/>
                <w:szCs w:val="22"/>
              </w:rPr>
              <w:t> Творческие мастерские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(профессионально -творческая практика)</w:t>
            </w:r>
          </w:p>
          <w:p>
            <w:pPr>
              <w:jc w:val="center"/>
              <w:spacing w:after="0" w:line="240" w:lineRule="auto"/>
              <w:rPr>
                <w:sz w:val="22"/>
                <w:szCs w:val="22"/>
              </w:rPr>
            </w:pPr>
            <w:r>
              <w:rPr>
                <w:rFonts w:ascii="Times New Roman" w:hAnsi="Times New Roman" w:cs="Times New Roman"/>
                <w:color w:val="#000000"/>
                <w:sz w:val="22"/>
                <w:szCs w:val="22"/>
              </w:rPr>
              <w:t> Роль средств массовой информации в освещении конфликта</w:t>
            </w:r>
          </w:p>
          <w:p>
            <w:pPr>
              <w:jc w:val="center"/>
              <w:spacing w:after="0" w:line="240" w:lineRule="auto"/>
              <w:rPr>
                <w:sz w:val="22"/>
                <w:szCs w:val="22"/>
              </w:rPr>
            </w:pPr>
            <w:r>
              <w:rPr>
                <w:rFonts w:ascii="Times New Roman" w:hAnsi="Times New Roman" w:cs="Times New Roman"/>
                <w:color w:val="#000000"/>
                <w:sz w:val="22"/>
                <w:szCs w:val="22"/>
              </w:rPr>
              <w:t> Современное телевидение</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природа  и последствия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Правовое регулирование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 природа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Институциональные основы противодействия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государства в сфере взаимодействия институтов гражданского общества и органов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указания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Антикоррупционная экспертиза нормативных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004.4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Правовое регулирование противодействия коррупции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Международные стандарты противодействия коррупции. Основные способы борьбы с ней.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Институциональные основы противодействия коррупции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нормативные правовые акты в сфере противодействии коррупции. Система правовых средств противодеи̌ствия коррупции. Национальная стратегия противодействия коррупции и Национальный план противодействия коррупции. Органы государственной власти, участвующие в разработке и реализации направлений государственной политики в сфере противодействия коррупции. Структура антикоррупционных программ органов власти.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 природа коррупции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коррупции. Сферы проявления и основные факторы коррупции. Исторические и социальные корни коррупции. Коррупция в современной России.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государства в сфере взаимодействия институтов гражданского общества и органов законодательной власти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ведомственных рабочих групп, совещательных и экспертных комиссий в противодействии коррупции. Институты гражданского общества как субъекты общественного контроля. Политика государства в сфере взаимодействия институтов гражданского общества и органов власти.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Антикоррупционная экспертиза нормативных правовых актов</w:t>
            </w:r>
          </w:p>
        </w:tc>
      </w:tr>
      <w:tr>
        <w:trPr>
          <w:trHeight w:hRule="exact" w:val="21.31518"/>
        </w:trPr>
        <w:tc>
          <w:tcPr>
            <w:tcW w:w="9640" w:type="dxa"/>
          </w:tcPr>
          <w:p/>
        </w:tc>
      </w:tr>
      <w:tr>
        <w:trPr>
          <w:trHeight w:hRule="exact" w:val="1606.8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Противодействие коррупции в системе управления народным хозяйством. Правовое антикоррупционное регулирование нормотворческой деятельности на федеральном, региональном и местном уровнях.  Исследование результатов применения мер по предупреждению, пресечению коррупции и мер ответственности за совершение коррупционных правонарушений. Проблемы совершенствования российского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законодательства о противодействии коррупции.</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«Противодействие коррупции» / Кузнецова Е.К..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экспертиза</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проектов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Бурмистрова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Головко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Исламова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Кулик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юридический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(филиал)</w:t>
            </w:r>
            <w:r>
              <w:rPr/>
              <w:t xml:space="preserve"> </w:t>
            </w:r>
            <w:r>
              <w:rPr>
                <w:rFonts w:ascii="Times New Roman" w:hAnsi="Times New Roman" w:cs="Times New Roman"/>
                <w:color w:val="#000000"/>
                <w:sz w:val="24"/>
                <w:szCs w:val="24"/>
              </w:rPr>
              <w:t>Академии</w:t>
            </w:r>
            <w:r>
              <w:rPr/>
              <w:t xml:space="preserve"> </w:t>
            </w:r>
            <w:r>
              <w:rPr>
                <w:rFonts w:ascii="Times New Roman" w:hAnsi="Times New Roman" w:cs="Times New Roman"/>
                <w:color w:val="#000000"/>
                <w:sz w:val="24"/>
                <w:szCs w:val="24"/>
              </w:rPr>
              <w:t>Генеральной</w:t>
            </w:r>
            <w:r>
              <w:rPr/>
              <w:t xml:space="preserve"> </w:t>
            </w:r>
            <w:r>
              <w:rPr>
                <w:rFonts w:ascii="Times New Roman" w:hAnsi="Times New Roman" w:cs="Times New Roman"/>
                <w:color w:val="#000000"/>
                <w:sz w:val="24"/>
                <w:szCs w:val="24"/>
              </w:rPr>
              <w:t>прокуратуры</w:t>
            </w:r>
            <w:r>
              <w:rPr/>
              <w:t xml:space="preserve"> </w:t>
            </w:r>
            <w:r>
              <w:rPr>
                <w:rFonts w:ascii="Times New Roman" w:hAnsi="Times New Roman" w:cs="Times New Roman"/>
                <w:color w:val="#000000"/>
                <w:sz w:val="24"/>
                <w:szCs w:val="24"/>
              </w:rPr>
              <w:t>РФ,</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http://www.iprbookshop.ru/73003.html</w:t>
            </w:r>
            <w:r>
              <w:rPr/>
              <w:t xml:space="preserve"> </w:t>
            </w:r>
          </w:p>
        </w:tc>
      </w:tr>
      <w:tr>
        <w:trPr>
          <w:trHeight w:hRule="exact" w:val="2719.2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Хабриева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Габов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Цирин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Ноздрачев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Абузярова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Кошаева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Ломакина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Матулис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Молчанова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Семилютина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Севальнев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Трунцевский</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Черепанова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Хабриевой</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Научно-практический</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декабря</w:t>
            </w:r>
            <w:r>
              <w:rPr/>
              <w:t xml:space="preserve"> </w:t>
            </w:r>
            <w:r>
              <w:rPr>
                <w:rFonts w:ascii="Times New Roman" w:hAnsi="Times New Roman" w:cs="Times New Roman"/>
                <w:color w:val="#000000"/>
                <w:sz w:val="24"/>
                <w:szCs w:val="24"/>
              </w:rPr>
              <w:t>2008</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273-ФЗ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противодействии</w:t>
            </w:r>
            <w:r>
              <w:rPr/>
              <w:t xml:space="preserve"> </w:t>
            </w:r>
            <w:r>
              <w:rPr>
                <w:rFonts w:ascii="Times New Roman" w:hAnsi="Times New Roman" w:cs="Times New Roman"/>
                <w:color w:val="#000000"/>
                <w:sz w:val="24"/>
                <w:szCs w:val="24"/>
              </w:rPr>
              <w:t>коррупции»</w:t>
            </w:r>
            <w:r>
              <w:rPr/>
              <w:t xml:space="preserve"> </w:t>
            </w:r>
            <w:r>
              <w:rPr>
                <w:rFonts w:ascii="Times New Roman" w:hAnsi="Times New Roman" w:cs="Times New Roman"/>
                <w:color w:val="#000000"/>
                <w:sz w:val="24"/>
                <w:szCs w:val="24"/>
              </w:rPr>
              <w:t>(постатейный)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законодательства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сравнительного</w:t>
            </w:r>
            <w:r>
              <w:rPr/>
              <w:t xml:space="preserve"> </w:t>
            </w:r>
            <w:r>
              <w:rPr>
                <w:rFonts w:ascii="Times New Roman" w:hAnsi="Times New Roman" w:cs="Times New Roman"/>
                <w:color w:val="#000000"/>
                <w:sz w:val="24"/>
                <w:szCs w:val="24"/>
              </w:rPr>
              <w:t>правоведения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Правительстве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Юриспруденция,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978-5-9516-0815-4.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http://www.iprbookshop.ru/86535.html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Антикоррупционная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субъектов</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Басос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Ишеков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Казачкова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Кирилин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Малеванова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Фоменко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978-5-00094-613-8.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http://www.iprbookshop.ru/86914.html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08.90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103.0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2024-2025_ФГОС3++2024_Бак-ОФО-Жур(24)_plx_Противодействие коррупции</dc:title>
  <dc:creator>FastReport.NET</dc:creator>
</cp:coreProperties>
</file>